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AE" w:rsidRPr="00820FAE" w:rsidRDefault="00820FAE" w:rsidP="00820FAE">
      <w:r w:rsidRPr="00820FAE">
        <w:t>Osservatorio Smart AgriFood, Drei: «L'aggregazione ha valenza strategica»</w:t>
      </w:r>
    </w:p>
    <w:p w:rsidR="00820FAE" w:rsidRPr="00820FAE" w:rsidRDefault="00820FAE" w:rsidP="00820FAE">
      <w:pPr>
        <w:rPr>
          <w:b/>
          <w:bCs/>
        </w:rPr>
      </w:pPr>
      <w:r w:rsidRPr="00820FAE">
        <w:rPr>
          <w:b/>
          <w:bCs/>
        </w:rPr>
        <w:t>Gli investimenti in tecnologia sono calati dell'8% nel corso del 2024</w:t>
      </w:r>
    </w:p>
    <w:p w:rsidR="00862C64" w:rsidRDefault="00820FAE" w:rsidP="00820FAE">
      <w:bookmarkStart w:id="0" w:name="_GoBack"/>
      <w:r w:rsidRPr="00820FAE">
        <w:drawing>
          <wp:inline distT="0" distB="0" distL="0" distR="0">
            <wp:extent cx="6239280" cy="3094617"/>
            <wp:effectExtent l="0" t="0" r="0" b="0"/>
            <wp:docPr id="1" name="Immagine 1" descr="Osservatorio Smart AgriFood, Drei: «L">
              <a:hlinkClick xmlns:a="http://schemas.openxmlformats.org/drawingml/2006/main" r:id="rId4" tooltip="&quot;Osservatorio Smart AgriFood, Drei: «L'aggregazione ha valenza strategica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servatorio Smart AgriFood, Drei: «L">
                      <a:hlinkClick r:id="rId4" tooltip="&quot;Osservatorio Smart AgriFood, Drei: «L'aggregazione ha valenza strategica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659" cy="310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2C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9C"/>
    <w:rsid w:val="00820FAE"/>
    <w:rsid w:val="00862C64"/>
    <w:rsid w:val="00B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60E80-D857-4734-B946-033B710F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grintesa.it/Assets/Public/Image/news/Drei%20foto%20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Baccarani</dc:creator>
  <cp:keywords/>
  <dc:description/>
  <cp:lastModifiedBy>Lorenzo Baccarani</cp:lastModifiedBy>
  <cp:revision>2</cp:revision>
  <dcterms:created xsi:type="dcterms:W3CDTF">2025-03-13T10:43:00Z</dcterms:created>
  <dcterms:modified xsi:type="dcterms:W3CDTF">2025-03-13T10:43:00Z</dcterms:modified>
</cp:coreProperties>
</file>